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Comprensivo Statale “G.Barone”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3283"/>
        <w:gridCol w:w="3283"/>
        <w:tblGridChange w:id="0">
          <w:tblGrid>
            <w:gridCol w:w="3288"/>
            <w:gridCol w:w="3283"/>
            <w:gridCol w:w="3283"/>
          </w:tblGrid>
        </w:tblGridChange>
      </w:tblGrid>
      <w:tr>
        <w:trPr>
          <w:trHeight w:val="136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Baranello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Castropignano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Fossalto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X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Torella del Sannio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X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Prima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Seconda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Terza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X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primo bimestre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secondo bimestre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X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terzo bimestre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quarto bimestre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IL FENOMENO DEL BULLISMO E DEL CY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ERBULLISMO IN ITALIA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791"/>
        <w:gridCol w:w="35"/>
        <w:tblGridChange w:id="0">
          <w:tblGrid>
            <w:gridCol w:w="2063"/>
            <w:gridCol w:w="7791"/>
            <w:gridCol w:w="3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588f43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x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Imparare ad imparare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72" w:right="0" w:hanging="4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x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x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Collaborare e partecipare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x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Agire in modo autonomo, responsabile e critico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problemi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x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collegamenti e relazioni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x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ed interpretare l’informazione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x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alfabetica funzionale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multi linguistica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x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matematica e competenza in scienze, tecnologie e ingegneria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in materia di consapevolezza ed espressione culturali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imprenditoriale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673"/>
              <w:gridCol w:w="5062"/>
              <w:tblGridChange w:id="0">
                <w:tblGrid>
                  <w:gridCol w:w="4673"/>
                  <w:gridCol w:w="5062"/>
                </w:tblGrid>
              </w:tblGridChange>
            </w:tblGrid>
            <w:tr>
              <w:trPr>
                <w:trHeight w:val="27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Asse dei linguaggi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Asse matematico</w:t>
                  </w:r>
                </w:p>
              </w:tc>
            </w:tr>
            <w:tr>
              <w:trPr>
                <w:trHeight w:val="27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◻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Asse scientifico – tecnologico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  Asse storico – sociale</w:t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00"/>
              <w:gridCol w:w="6960"/>
              <w:tblGridChange w:id="0">
                <w:tblGrid>
                  <w:gridCol w:w="2700"/>
                  <w:gridCol w:w="696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1. 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COMPETENZA ALFABETICA FUNZIONALE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-l’allievo interagisce in modo efficace in diverse situazioni comunicative, attraverso modalità dialogiche sempre rispettose delle idee degli altri; con ciò matura la consapevolezza che il dialogo, oltre a essere uno strumento comunicativo, ha anche un grande valore civile e lo utilizza per apprendere informazioni ed elaborare opinioni su problemi riguardanti vari ambiti culturali e sociali;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-legge testi letterari di vario tipo (narrativi, poetici, teatrali) e comincia a costruirne un’interpretazione, collaborando con compagni e insegnanti;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-scrive correttamente testi di diverso tipo (narrativo, descrittivo) adeguati a situazione, argomento, scopo, destinatario.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-l’alunno si informa in modo autonomo su fatti e problemi storici anche mediante l’uso di risorse digitali;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-espone oralmente e con scritture le conoscenze storiche acquisite operando collegamenti e argomentando le proprie riflessioni.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-utilizza opportunamente carte geografiche, fotografie attuali e d’epoca, immagini da telerilevamento, elaborazioni digitali, grafici, dati statistici,sistemi informativi geografici per comunicare efficacemente informazioni spaziali. </w:t>
                  </w: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spacing w:after="200" w:line="276" w:lineRule="auto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Analizza e interpreta rappresentazioni di dati per ricavarne misure di variabilità e prendere decisioni.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3.</w:t>
                  </w:r>
                  <w:r w:rsidDel="00000000" w:rsidR="00000000" w:rsidRPr="00000000">
                    <w:rPr>
                      <w:rFonts w:ascii="Verdana" w:cs="Verdana" w:eastAsia="Verdana" w:hAnsi="Verdana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multilinguistica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Lingua inglese:</w:t>
                  </w:r>
                </w:p>
                <w:p w:rsidR="00000000" w:rsidDel="00000000" w:rsidP="00000000" w:rsidRDefault="00000000" w:rsidRPr="00000000" w14:paraId="00000053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-l’alunno legge semplici testi con diverse strategie adeguate allo scopo;</w:t>
                  </w:r>
                </w:p>
                <w:p w:rsidR="00000000" w:rsidDel="00000000" w:rsidP="00000000" w:rsidRDefault="00000000" w:rsidRPr="00000000" w14:paraId="00000054">
                  <w:pPr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-legge testi informativi e ascolta spiegazioni attinenti a contenuti di studio di altre discipline;</w:t>
                  </w:r>
                </w:p>
                <w:p w:rsidR="00000000" w:rsidDel="00000000" w:rsidP="00000000" w:rsidRDefault="00000000" w:rsidRPr="00000000" w14:paraId="00000055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-individua elementi culturali veicolati dalla lingua madre o di scolarizzazione e li confronta con quelli veicolati dalla lingua straniera.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Lingua Francese</w:t>
                  </w: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-leggere brevi e semplici testi con tecniche adeguate allo scopo;-comprendere brevi messaggi scritti e orali relativi ad ambiti familiari;-comunica oralmente e per iscritto in modo semplice aspetti del proprio vissuto e del proprio ambiente.</w:t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Italiano, Inglese, Storia, Geografia, Matematica, Scienze, Arte e Immagine, Musica, Tecnologia, Educazione Fisica, Religion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e, Francese.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L’alunno è in grado di effettuare ricerche riguardanti il bullismo e il cyberbullismo, di leggere e interpretare testi e scrivere testi che espongono questa problematica.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Mediante lo studio di testi e di ricerche l’alunno conosce il problema del bullismo cyberbullismo, le sue cause e le sue ripercussioni nelle giovani vittime.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B">
                  <w:pPr>
                    <w:spacing w:after="240" w:before="240" w:lineRule="auto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Ricavare le informazioni essenziali dalla lettura di brevi testi in lingua sul problema del bullismo e cyberbullismo, con l’aiuto del docente e del vocabolario digitale; comprendere brevi testimonianze scritte da vittime del bullismo, e analizzare e commentare i contenuti e le possibili soluzioni al problema attraverso una semplice interazione orale guidata.</w:t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D">
                  <w:pPr>
                    <w:spacing w:after="240" w:before="240" w:lineRule="auto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Conoscenza di aspetti riguardanti le tematiche del bullismo e cyberbullismo e possibili comportamenti corretti da mettere in atto per contrastare il problema (Lettura e ascolto di testi in lingua inglese: </w:t>
                  </w: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rtl w:val="0"/>
                    </w:rPr>
                    <w:t xml:space="preserve">Bullying, rights and respect</w:t>
                  </w: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e brevi articoli tratti da una rivista in lingua per ragazzi:</w:t>
                  </w:r>
                  <w:r w:rsidDel="00000000" w:rsidR="00000000" w:rsidRPr="00000000">
                    <w:rPr>
                      <w:rFonts w:ascii="Verdana" w:cs="Verdana" w:eastAsia="Verdana" w:hAnsi="Verdana"/>
                      <w:i w:val="1"/>
                      <w:rtl w:val="0"/>
                    </w:rPr>
                    <w:t xml:space="preserve">teentalk magazine</w:t>
                  </w: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).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L’alunno sa ricavare informazioni sulle varie forme di bullismo e sulla sua evoluzione storica, sa esporre oralmente e tramite scritti le sue conoscenze dell’argomento.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L’alunno conosce l’evoluzione del fenomeno e la sua attuazione nella contemporaneità, le problematiche connesse alla rete e al suo cattivo uso.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L’alunno sa compiere ricerche tramite diversi supporti, anche digitali, sull’espansione del bullismo e del cyberbullismo a livello nazionale e sa leggere e interpretare le statistiche.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L’alunno conosce le aree del territorio italiano nelle quali c’è una maggiore presenza di casi di bullismo e cyberbullismo.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Raccogliere, elaborare e rappresentare i dati di un’indagine statistica.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Conoscere gli elementi che caratterizzano un’indagine statistica.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</w:t>
                  </w:r>
                </w:p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Contrastare il bullismo producendo bellezza.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Realizzazione di un mini-libro illustrato con pensieri liberi sul tema e relative illustarzioni.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C">
                  <w:pPr>
                    <w:ind w:hanging="2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Mette in atto comportamenti collaborativi in forma propositiva relativamente alle scelte del gruppo-classe nei contesti di gara. Rispetta le opinioni altrui e sa gestire con equilibrio i confronti che scaturiscono nel contesto di gara;</w:t>
                  </w:r>
                </w:p>
              </w:tc>
              <w:tc>
                <w:tcPr/>
                <w:p w:rsidR="00000000" w:rsidDel="00000000" w:rsidP="00000000" w:rsidRDefault="00000000" w:rsidRPr="00000000" w14:paraId="0000008D">
                  <w:pPr>
                    <w:ind w:hanging="2"/>
                    <w:jc w:val="both"/>
                    <w:rPr>
                      <w:rFonts w:ascii="Cambria" w:cs="Cambria" w:eastAsia="Cambria" w:hAnsi="Cambri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Riconoscere le basilari regole di rispetto (fair-play) nel contesto degli ambienti sportivi;</w:t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75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00"/>
              <w:gridCol w:w="3750"/>
              <w:gridCol w:w="3300"/>
              <w:tblGridChange w:id="0">
                <w:tblGrid>
                  <w:gridCol w:w="2700"/>
                  <w:gridCol w:w="3750"/>
                  <w:gridCol w:w="33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         Francese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jc w:val="both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L’alunno legge il brano tratto da un articolo di una rivista con l’aiuto della docente, del vocabolario cartaceo e multimediale. L’alunno comprende il senso generale di quanto letto e  rielabora in lingua madre le informazioni ricavate</w:t>
                  </w: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Brano tratto da un articolo di una rivista sul tema del bullismo e cyberbullismo.</w:t>
                  </w:r>
                </w:p>
              </w:tc>
            </w:tr>
          </w:tbl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Soluzioni organizzative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x 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x gruppo classe </w:t>
                  </w:r>
                </w:p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hanging="142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x gruppi di livello (recupero / consolidamento /potenziamento)</w:t>
                  </w:r>
                </w:p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hanging="142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x gruppi di compito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hanging="142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Attività _________________________________________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Fasi di applicazione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Tempi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febbraio 2020-marzo 2020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brainstorming, cooperative learning, problem solving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interne / esterne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C.D.C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Strumenti e mezzi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rtl w:val="0"/>
                    </w:rPr>
                    <w:t xml:space="preserve">Vocabolario (cartaceo e multimediale), lim, pc, fotocopie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prove oggettive – test a risposta multipla- questionario-  saggio personale……)</w:t>
                  </w:r>
                </w:p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Presentazione degli elaboratii in power point.</w:t>
                  </w:r>
                </w:p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Lingua Francese:test a risposta multipla, questionario.</w:t>
                  </w:r>
                </w:p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Lingua Inglese: interazione orale guidata</w:t>
                  </w:r>
                </w:p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Italiano, Storia e Geografia: elaborati nei quali vengono esposti i dati delle ricerche effettuate.</w:t>
                  </w:r>
                </w:p>
              </w:tc>
            </w:tr>
          </w:tbl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0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Data:                                                                           Firma Consiglio di Classe                                 </w:t>
      </w: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o"/>
      <w:lvlJc w:val="left"/>
      <w:pPr>
        <w:ind w:left="1275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1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3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7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9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3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chivio.pubblica.istruzione.it/normativa/2007/dm139_07.shtml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BCObazzW40PRF8Yz49C94T2cg==">AMUW2mWKQ3nhJva0EwaDh0jAOihwFH64aSMhlJ8QSJbVC9k/Qlo2e07N74oW9isN+yTVRRdozV9UGAMBHBoZSjC/UXvBupgoTy1V2cCu62VHTBBvUtZWbIfHQleMglhx8cdOR63Z1moA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2019-11-26T15:22:00Z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