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mbria" w:cs="Cambria" w:eastAsia="Cambria" w:hAnsi="Cambria"/>
          <w:color w:val="000000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40"/>
          <w:szCs w:val="40"/>
          <w:rtl w:val="0"/>
        </w:rPr>
        <w:t xml:space="preserve">Istituto Comprensivo Statale “G. Barone”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mbria" w:cs="Cambria" w:eastAsia="Cambria" w:hAnsi="Cambria"/>
          <w:color w:val="000000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6"/>
          <w:szCs w:val="36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mbria" w:cs="Cambria" w:eastAsia="Cambria" w:hAnsi="Cambria"/>
          <w:color w:val="000000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6"/>
          <w:szCs w:val="36"/>
          <w:rtl w:val="0"/>
        </w:rPr>
        <w:t xml:space="preserve">Percorso Formativo interdisciplinare / trasversale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"/>
        <w:gridCol w:w="1639"/>
        <w:gridCol w:w="1644"/>
        <w:gridCol w:w="3283"/>
        <w:tblGridChange w:id="0">
          <w:tblGrid>
            <w:gridCol w:w="3288"/>
            <w:gridCol w:w="1639"/>
            <w:gridCol w:w="1644"/>
            <w:gridCol w:w="3283"/>
          </w:tblGrid>
        </w:tblGridChange>
      </w:tblGrid>
      <w:tr>
        <w:trPr>
          <w:trHeight w:val="1840" w:hRule="atLeast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PLESSO: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BARANELLO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CASTROPIGNANO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FOSSALTO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TORELLA DEL SANNIO</w:t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CLASSE: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PRIMA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SECONDA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TERZA</w:t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mbria" w:cs="Cambria" w:eastAsia="Cambria" w:hAnsi="Cambri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SEZIONE: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 A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(per la pluriclasse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spuntare più voci)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ANNO SCOLASTICO: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2019 -2020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AMBITO: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38"/>
              </w:tabs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PRIMO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SECONDO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TERZO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QUARTO BIMESTRE</w:t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 PERIODO: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Cambria" w:cs="Cambria" w:eastAsia="Cambria" w:hAnsi="Cambria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TITOLO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mbria" w:cs="Cambria" w:eastAsia="Cambria" w:hAnsi="Cambri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3"/>
        <w:gridCol w:w="7826"/>
        <w:tblGridChange w:id="0">
          <w:tblGrid>
            <w:gridCol w:w="2063"/>
            <w:gridCol w:w="7826"/>
          </w:tblGrid>
        </w:tblGridChange>
      </w:tblGrid>
      <w:tr>
        <w:trPr>
          <w:trHeight w:val="1020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TRASVERSALI COMUNI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jc w:val="both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mbria" w:cs="Cambria" w:eastAsia="Cambria" w:hAnsi="Cambria"/>
                <w:color w:val="444444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Competenze chiave  così come recepite dal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444444"/>
                <w:highlight w:val="white"/>
                <w:rtl w:val="0"/>
              </w:rPr>
              <w:t xml:space="preserve">Regolamento recante norme in materia di adempimento dell’obbligo di istruzione”-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720"/>
              <w:jc w:val="both"/>
              <w:rPr>
                <w:rFonts w:ascii="Cambria" w:cs="Cambria" w:eastAsia="Cambria" w:hAnsi="Cambria"/>
                <w:color w:val="000000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i w:val="1"/>
                  <w:color w:val="000000"/>
                  <w:highlight w:val="white"/>
                  <w:u w:val="single"/>
                  <w:rtl w:val="0"/>
                </w:rPr>
                <w:t xml:space="preserve">D.M. n. 139 / 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720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700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5160"/>
              <w:tblGridChange w:id="0">
                <w:tblGrid>
                  <w:gridCol w:w="320"/>
                  <w:gridCol w:w="220"/>
                  <w:gridCol w:w="516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Imparare ad imparare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Progettare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Comunicare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Collaborare e partecipare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Agire in modo autonomo, responsabile e critico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Risolvere problemi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Individuare collegamenti e relazioni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Acquisire ed interpretare l’informazione</w:t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720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jc w:val="both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Competenze chiave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(Raccomandazioni europee 22 maggio 2018)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572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7032"/>
              <w:tblGridChange w:id="0">
                <w:tblGrid>
                  <w:gridCol w:w="320"/>
                  <w:gridCol w:w="220"/>
                  <w:gridCol w:w="7032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Competenza alfabetica funzionale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Competenza multi linguistica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  <w:rtl w:val="0"/>
                    </w:rPr>
                    <w:t xml:space="preserve">Competenza matematica e competenza in scienze, tecnologie e ingegneria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Competenza in materia di consapevolezza ed espressione culturali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Competenza imprenditoriale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Competenze digitali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720"/>
              <w:jc w:val="both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32"/>
                <w:szCs w:val="32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32"/>
                <w:szCs w:val="32"/>
                <w:rtl w:val="0"/>
              </w:rPr>
              <w:tab/>
              <w:t xml:space="preserve">ASSI COINVOLTI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140.0" w:type="dxa"/>
              <w:jc w:val="left"/>
              <w:tblInd w:w="757.0" w:type="dxa"/>
              <w:tblLayout w:type="fixed"/>
              <w:tblLook w:val="0000"/>
            </w:tblPr>
            <w:tblGrid>
              <w:gridCol w:w="320"/>
              <w:gridCol w:w="220"/>
              <w:gridCol w:w="3940"/>
              <w:gridCol w:w="320"/>
              <w:gridCol w:w="220"/>
              <w:gridCol w:w="3120"/>
              <w:tblGridChange w:id="0">
                <w:tblGrid>
                  <w:gridCol w:w="320"/>
                  <w:gridCol w:w="220"/>
                  <w:gridCol w:w="3940"/>
                  <w:gridCol w:w="320"/>
                  <w:gridCol w:w="220"/>
                  <w:gridCol w:w="312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ASSE DEI LINGUAGGI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ASSE MATEMATICO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ASSE SCIENTIFICO –TECNOLOGICO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ASSE STORICO - SOCIALE</w:t>
                  </w:r>
                </w:p>
              </w:tc>
            </w:tr>
          </w:tbl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237"/>
              </w:tabs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32"/>
                <w:szCs w:val="32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COMPETENZE CHIAVE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TRAGUARDI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DA INDICAZIONI NAZIONALI 2012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29"/>
                      <w:tab w:val="left" w:pos="1785"/>
                    </w:tabs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rtl w:val="0"/>
                    </w:rPr>
                    <w:t xml:space="preserve">1.</w:t>
                  </w: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Competenza alfabetica funzionale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rtl w:val="0"/>
                    </w:rPr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L’alunno interagisce in modo efficace in diverse situazioni comunicative, attraverso modalità dialogiche sempre rispettose delle idee degli altri; con ciò matura la consapevolezza che il dialogo , oltre a essere uno strumento comunicativo,ha anche un grande valore civile e lo utilizza per apprendere informazioni ed elaborare opinioni su problemi riguardanti vari ambiti culturali e sociali.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rtl w:val="0"/>
                    </w:rPr>
                    <w:t xml:space="preserve">2.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Competenza in materia di consapevolezza ed espressione culturali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5">
                  <w:pPr>
                    <w:spacing w:after="240" w:before="240" w:line="240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ARTE: </w:t>
                  </w:r>
                </w:p>
                <w:p w:rsidR="00000000" w:rsidDel="00000000" w:rsidP="00000000" w:rsidRDefault="00000000" w:rsidRPr="00000000" w14:paraId="000000B6">
                  <w:pPr>
                    <w:spacing w:after="240" w:before="240" w:line="240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L’alunno comprende ed apprezza le opere d’arte, conosce le tipologie del patrimonio ambientale, storico-artistico e museale del territorio, sapendone leggere i significati e i valori estetici, storici e sociali. Ipotizza strategie di intervento per la tutela, la conservazione e la valorizzazione dei beni culturali. </w:t>
                  </w:r>
                  <w:r w:rsidDel="00000000" w:rsidR="00000000" w:rsidRPr="00000000">
                    <w:rPr>
                      <w:rtl w:val="0"/>
                    </w:rPr>
                    <w:t xml:space="preserve">Conosce le istituzioni culturali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rtl w:val="0"/>
                    </w:rPr>
                    <w:t xml:space="preserve">3.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rtl w:val="0"/>
                    </w:rPr>
                    <w:t xml:space="preserve">om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rtl w:val="0"/>
                    </w:rPr>
                    <w:t xml:space="preserve">etenza multili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nguistica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A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LINGUA SPAGNOLA:</w:t>
                  </w:r>
                </w:p>
                <w:p w:rsidR="00000000" w:rsidDel="00000000" w:rsidP="00000000" w:rsidRDefault="00000000" w:rsidRPr="00000000" w14:paraId="000000BB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 leggere brevi e semplici testi con tecniche adeguate allo scopo </w:t>
                  </w:r>
                </w:p>
                <w:p w:rsidR="00000000" w:rsidDel="00000000" w:rsidP="00000000" w:rsidRDefault="00000000" w:rsidRPr="00000000" w14:paraId="000000BC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 comprendere brevi messaggi scritti e orali relativi ad ambiti familiari</w:t>
                  </w:r>
                </w:p>
                <w:p w:rsidR="00000000" w:rsidDel="00000000" w:rsidP="00000000" w:rsidRDefault="00000000" w:rsidRPr="00000000" w14:paraId="000000BD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LINGUA INGLESE:</w:t>
                  </w:r>
                </w:p>
                <w:p w:rsidR="00000000" w:rsidDel="00000000" w:rsidP="00000000" w:rsidRDefault="00000000" w:rsidRPr="00000000" w14:paraId="000000BE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-leggere semplici testi con diverse strategie adeguate allo scopo</w:t>
                  </w:r>
                </w:p>
                <w:p w:rsidR="00000000" w:rsidDel="00000000" w:rsidP="00000000" w:rsidRDefault="00000000" w:rsidRPr="00000000" w14:paraId="000000BF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-leggere testi informativi e ascoltare spiegazioni attinenti a contenuti di studio di altre discipline</w:t>
                  </w:r>
                </w:p>
                <w:p w:rsidR="00000000" w:rsidDel="00000000" w:rsidP="00000000" w:rsidRDefault="00000000" w:rsidRPr="00000000" w14:paraId="000000C0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-individuare elementi culturali veicolati dalla lingua madre o di scolarizzazione e confrontarli con quelli veicolati dalla lingua straniera</w:t>
                  </w:r>
                </w:p>
                <w:p w:rsidR="00000000" w:rsidDel="00000000" w:rsidP="00000000" w:rsidRDefault="00000000" w:rsidRPr="00000000" w14:paraId="000000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2">
                  <w:pPr>
                    <w:spacing w:after="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4. Competenza scienze</w:t>
                  </w:r>
                </w:p>
              </w:tc>
              <w:tc>
                <w:tcPr/>
                <w:p w:rsidR="00000000" w:rsidDel="00000000" w:rsidP="00000000" w:rsidRDefault="00000000" w:rsidRPr="00000000" w14:paraId="000000C3">
                  <w:pPr>
                    <w:spacing w:after="0" w:line="240" w:lineRule="auto"/>
                    <w:ind w:hanging="2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SCIENZE:</w:t>
                  </w:r>
                </w:p>
                <w:p w:rsidR="00000000" w:rsidDel="00000000" w:rsidP="00000000" w:rsidRDefault="00000000" w:rsidRPr="00000000" w14:paraId="000000C4">
                  <w:pPr>
                    <w:spacing w:after="0" w:line="240" w:lineRule="auto"/>
                    <w:ind w:hanging="2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Sviluppa semplici schematizzazioni e modellizzazioni di fatti e fenomeni ricorrendo, quando è il caso, a misure appropriate e a semplici formalizzazioni. </w:t>
                  </w:r>
                </w:p>
                <w:p w:rsidR="00000000" w:rsidDel="00000000" w:rsidP="00000000" w:rsidRDefault="00000000" w:rsidRPr="00000000" w14:paraId="000000C5">
                  <w:pPr>
                    <w:spacing w:after="0" w:line="240" w:lineRule="auto"/>
                    <w:ind w:hanging="2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È consapevole del ruolo della comunità umana sulla Terra, del carattere finito delle risorse, nonché dell’ineguaglianza dell’accesso a esse, e adotta modi di vita ecologicamente responsabili.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6">
                  <w:pPr>
                    <w:spacing w:after="0" w:line="240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5. Competenze personali, sociali e di apprendimento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7">
                  <w:pPr>
                    <w:spacing w:after="0" w:line="240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8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ED. FISICA:</w:t>
                  </w:r>
                </w:p>
                <w:p w:rsidR="00000000" w:rsidDel="00000000" w:rsidP="00000000" w:rsidRDefault="00000000" w:rsidRPr="00000000" w14:paraId="000000C9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 comprendere la valenza formativa dello sport tra le nuove generazioni; </w:t>
                  </w:r>
                </w:p>
                <w:p w:rsidR="00000000" w:rsidDel="00000000" w:rsidP="00000000" w:rsidRDefault="00000000" w:rsidRPr="00000000" w14:paraId="000000CA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 comprendere l’importanza di accrescere la cultura della pace anche attraverso le attività sportive;</w:t>
                  </w:r>
                </w:p>
                <w:p w:rsidR="00000000" w:rsidDel="00000000" w:rsidP="00000000" w:rsidRDefault="00000000" w:rsidRPr="00000000" w14:paraId="000000CB">
                  <w:pPr>
                    <w:spacing w:after="0" w:line="240" w:lineRule="auto"/>
                    <w:jc w:val="center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rtl w:val="0"/>
                    </w:rPr>
                    <w:t xml:space="preserve">DISCIPLINE COINVOLTE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bookmarkStart w:colFirst="0" w:colLast="0" w:name="_heading=h.30j0zll" w:id="1"/>
                  <w:bookmarkEnd w:id="1"/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  <w:rtl w:val="0"/>
                    </w:rPr>
                    <w:t xml:space="preserve">ITALIANO, INGLESE, STORIA, GEOGRAFIA, MATEMATICA,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SCIENZE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  <w:rtl w:val="0"/>
                    </w:rPr>
                    <w:t xml:space="preserve">, ARTE E IMMAGINE, MUSICA, TECNOLOGIA,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EDUCAZIONE FISICA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  <w:rtl w:val="0"/>
                    </w:rPr>
                    <w:t xml:space="preserve">, RELIGIONE,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SPAGNOLO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3749"/>
              <w:gridCol w:w="3220"/>
              <w:tblGridChange w:id="0">
                <w:tblGrid>
                  <w:gridCol w:w="2689"/>
                  <w:gridCol w:w="3749"/>
                  <w:gridCol w:w="322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DISCIPLINA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ABILITÀ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CONOSCENZE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Italiano</w:t>
                  </w:r>
                </w:p>
                <w:p w:rsidR="00000000" w:rsidDel="00000000" w:rsidP="00000000" w:rsidRDefault="00000000" w:rsidRPr="00000000" w14:paraId="00000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L’alunno :</w:t>
                  </w:r>
                </w:p>
                <w:p w:rsidR="00000000" w:rsidDel="00000000" w:rsidP="00000000" w:rsidRDefault="00000000" w:rsidRPr="00000000" w14:paraId="00000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riferisce oralmente su un argomento di studio esplicitando lo scopo e presentandolo: esporre le informazioni secondo un ordine prestabilito e coerente, usare un registro adeguato all’argomento e alla situazione,controllare il lessico specifico, controllare le fonti;</w:t>
                  </w:r>
                </w:p>
                <w:p w:rsidR="00000000" w:rsidDel="00000000" w:rsidP="00000000" w:rsidRDefault="00000000" w:rsidRPr="00000000" w14:paraId="000000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riflette, dialoga ed esprime opinioni riguardo i vari temi esposti nella Dichiarazione universale dei Diritti umani;comprende che le regole sono  strumenti indispensabili per una civile convivenza.</w:t>
                  </w:r>
                </w:p>
                <w:p w:rsidR="00000000" w:rsidDel="00000000" w:rsidP="00000000" w:rsidRDefault="00000000" w:rsidRPr="00000000" w14:paraId="00000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Inglese</w:t>
                  </w:r>
                </w:p>
                <w:p w:rsidR="00000000" w:rsidDel="00000000" w:rsidP="00000000" w:rsidRDefault="00000000" w:rsidRPr="00000000" w14:paraId="000000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-L’alunno legge gli articoli 30 e 31 della “Convention on the Rights of the Child” con l’aiuto della docente o del dizionario on line</w:t>
                  </w:r>
                </w:p>
                <w:p w:rsidR="00000000" w:rsidDel="00000000" w:rsidP="00000000" w:rsidRDefault="00000000" w:rsidRPr="00000000" w14:paraId="000000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-comprende il senso generale di brevi testi in lingua, identificando le parole chiave e rielaborando in lingua madre i concetti principali.</w:t>
                  </w:r>
                </w:p>
              </w:tc>
              <w:tc>
                <w:tcPr/>
                <w:p w:rsidR="00000000" w:rsidDel="00000000" w:rsidP="00000000" w:rsidRDefault="00000000" w:rsidRPr="00000000" w14:paraId="00000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Gli articoli 30 e 31 della “Convenzione dei Diritti dell’Infanzia” (diritto di partecipazione alla vita culturale e artistica, tutela delle minoranze etniche, religiose e linguisiche)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Storia</w:t>
                  </w:r>
                </w:p>
                <w:p w:rsidR="00000000" w:rsidDel="00000000" w:rsidP="00000000" w:rsidRDefault="00000000" w:rsidRPr="00000000" w14:paraId="00000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L’alunno: </w:t>
                  </w:r>
                </w:p>
                <w:p w:rsidR="00000000" w:rsidDel="00000000" w:rsidP="00000000" w:rsidRDefault="00000000" w:rsidRPr="00000000" w14:paraId="00000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ricerca informazioni, raccoglie dati e notizie relativi a temi specifici trattati, coglie il valore della Dichiarazione, non come valore vincolante, ma come valore morale per la tutela dei diritti del bambino;</w:t>
                  </w:r>
                </w:p>
                <w:p w:rsidR="00000000" w:rsidDel="00000000" w:rsidP="00000000" w:rsidRDefault="00000000" w:rsidRPr="00000000" w14:paraId="000000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usa le conoscenze apprese per comprendere problemi di convivenza civile.</w:t>
                  </w:r>
                </w:p>
              </w:tc>
              <w:tc>
                <w:tcPr/>
                <w:p w:rsidR="00000000" w:rsidDel="00000000" w:rsidP="00000000" w:rsidRDefault="00000000" w:rsidRPr="00000000" w14:paraId="00000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Lettura e riflessione sugli articoli della Convenzione dei diritti dei fanciulli.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Geografia</w:t>
                  </w:r>
                </w:p>
                <w:p w:rsidR="00000000" w:rsidDel="00000000" w:rsidP="00000000" w:rsidRDefault="00000000" w:rsidRPr="00000000" w14:paraId="00000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L’alunno:</w:t>
                  </w:r>
                </w:p>
                <w:p w:rsidR="00000000" w:rsidDel="00000000" w:rsidP="00000000" w:rsidRDefault="00000000" w:rsidRPr="00000000" w14:paraId="000000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localizza gli ambienti geografici in cui vengono stilati: il primo strumento internazionale in assoluto a tutela dei diritti dell’infanzia, la  “Convenzione sull’età minima” adottata dalla Conferenza  Internazionale del Lavoro nel 1919; la Dichiarazione di Ginevra nel 1923 o Dichiarazione dei Diritti del bambino adottata dalla Quinta Assemblea Generale della Società delle Nazioni nel 1924.</w:t>
                  </w:r>
                </w:p>
              </w:tc>
              <w:tc>
                <w:tcPr/>
                <w:p w:rsidR="00000000" w:rsidDel="00000000" w:rsidP="00000000" w:rsidRDefault="00000000" w:rsidRPr="00000000" w14:paraId="000000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Dalla Convenzione sull’età minima, alla Dichiarazione di Ginevra dei diritti del fanciullo fino alla Convenzione dei diritti del Fanciullo.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Matematica</w:t>
                  </w:r>
                </w:p>
                <w:p w:rsidR="00000000" w:rsidDel="00000000" w:rsidP="00000000" w:rsidRDefault="00000000" w:rsidRPr="00000000" w14:paraId="000000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Scienze</w:t>
                  </w:r>
                </w:p>
                <w:p w:rsidR="00000000" w:rsidDel="00000000" w:rsidP="00000000" w:rsidRDefault="00000000" w:rsidRPr="00000000" w14:paraId="00000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0">
                  <w:pPr>
                    <w:spacing w:after="0" w:line="240" w:lineRule="auto"/>
                    <w:ind w:hanging="2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Costruire e utilizzare correttamente il concetto di energia come quantità che si conserva; </w:t>
                  </w:r>
                </w:p>
                <w:p w:rsidR="00000000" w:rsidDel="00000000" w:rsidP="00000000" w:rsidRDefault="00000000" w:rsidRPr="00000000" w14:paraId="000000F1">
                  <w:pPr>
                    <w:spacing w:after="0" w:line="240" w:lineRule="auto"/>
                    <w:ind w:hanging="2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individuare la sua dipendenza da altre variabili; </w:t>
                  </w:r>
                </w:p>
                <w:p w:rsidR="00000000" w:rsidDel="00000000" w:rsidP="00000000" w:rsidRDefault="00000000" w:rsidRPr="00000000" w14:paraId="000000F2">
                  <w:pPr>
                    <w:spacing w:after="0" w:line="240" w:lineRule="auto"/>
                    <w:ind w:hanging="2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riconoscere l’inevitabile produzione di calore nelle catene energetiche reali. </w:t>
                  </w:r>
                </w:p>
              </w:tc>
              <w:tc>
                <w:tcPr/>
                <w:p w:rsidR="00000000" w:rsidDel="00000000" w:rsidP="00000000" w:rsidRDefault="00000000" w:rsidRPr="00000000" w14:paraId="000000F3">
                  <w:pPr>
                    <w:spacing w:after="0" w:line="240" w:lineRule="auto"/>
                    <w:ind w:hanging="2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L’alimentazione come processo energetico. </w:t>
                  </w:r>
                </w:p>
                <w:p w:rsidR="00000000" w:rsidDel="00000000" w:rsidP="00000000" w:rsidRDefault="00000000" w:rsidRPr="00000000" w14:paraId="000000F4">
                  <w:pPr>
                    <w:spacing w:after="0" w:line="240" w:lineRule="auto"/>
                    <w:ind w:hanging="2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Insufficienza di cibo e consumismo: smaltimento dei rifiuti e raccolta differenziata.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Arte e immagine</w:t>
                  </w:r>
                </w:p>
                <w:p w:rsidR="00000000" w:rsidDel="00000000" w:rsidP="00000000" w:rsidRDefault="00000000" w:rsidRPr="00000000" w14:paraId="00000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7">
                  <w:pPr>
                    <w:spacing w:after="240" w:before="24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Visita un sito archeologico, utilizzando piante e legende e documentando il percorso svolto. Visita un museo, presenta un bene culturale con testi immagini, schemi e legende.</w:t>
                  </w:r>
                </w:p>
                <w:p w:rsidR="00000000" w:rsidDel="00000000" w:rsidP="00000000" w:rsidRDefault="00000000" w:rsidRPr="00000000" w14:paraId="00000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9">
                  <w:pPr>
                    <w:spacing w:after="0" w:before="24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Codice dei beni culturali e del paesaggio d.lgs 42/2004 e s.m.i.</w:t>
                  </w:r>
                </w:p>
                <w:p w:rsidR="00000000" w:rsidDel="00000000" w:rsidP="00000000" w:rsidRDefault="00000000" w:rsidRPr="00000000" w14:paraId="000000FA">
                  <w:pPr>
                    <w:spacing w:after="0" w:before="24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IL SITO ARCHEOLOGICO</w:t>
                  </w:r>
                </w:p>
                <w:p w:rsidR="00000000" w:rsidDel="00000000" w:rsidP="00000000" w:rsidRDefault="00000000" w:rsidRPr="00000000" w14:paraId="000000FB">
                  <w:pPr>
                    <w:spacing w:after="0" w:before="24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Tipologie e periodi storici L’archeologia: procedimenti, strumenti,figure professionali.</w:t>
                  </w:r>
                </w:p>
                <w:p w:rsidR="00000000" w:rsidDel="00000000" w:rsidP="00000000" w:rsidRDefault="00000000" w:rsidRPr="00000000" w14:paraId="000000FC">
                  <w:pPr>
                    <w:spacing w:after="0" w:before="24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La città. Il museo</w:t>
                  </w:r>
                </w:p>
                <w:p w:rsidR="00000000" w:rsidDel="00000000" w:rsidP="00000000" w:rsidRDefault="00000000" w:rsidRPr="00000000" w14:paraId="000000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Musica</w:t>
                  </w:r>
                </w:p>
                <w:p w:rsidR="00000000" w:rsidDel="00000000" w:rsidP="00000000" w:rsidRDefault="00000000" w:rsidRPr="00000000" w14:paraId="000000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Saper cantare per imitazione e per lettura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Girotondo intorno al mondo”</w:t>
                  </w:r>
                </w:p>
                <w:p w:rsidR="00000000" w:rsidDel="00000000" w:rsidP="00000000" w:rsidRDefault="00000000" w:rsidRPr="00000000" w14:paraId="000001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(S.Endrigo)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Tecnologia</w:t>
                  </w:r>
                </w:p>
                <w:p w:rsidR="00000000" w:rsidDel="00000000" w:rsidP="00000000" w:rsidRDefault="00000000" w:rsidRPr="00000000" w14:paraId="00000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5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0" w:line="288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Cogliere l’evoluzione nel tempo di alcuni semplici processi di produzione nonché i vantaggi  e gli eventuali.  problemi ecologici .</w:t>
                  </w:r>
                </w:p>
                <w:p w:rsidR="00000000" w:rsidDel="00000000" w:rsidP="00000000" w:rsidRDefault="00000000" w:rsidRPr="00000000" w14:paraId="00000106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0" w:line="288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 tradurre le conoscenze in comportamenti rispettosi dell’ambiente.</w:t>
                  </w:r>
                </w:p>
                <w:p w:rsidR="00000000" w:rsidDel="00000000" w:rsidP="00000000" w:rsidRDefault="00000000" w:rsidRPr="00000000" w14:paraId="00000107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0" w:line="288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Cercare ed attingere informazioni in Internet.</w:t>
                  </w:r>
                </w:p>
                <w:p w:rsidR="00000000" w:rsidDel="00000000" w:rsidP="00000000" w:rsidRDefault="00000000" w:rsidRPr="00000000" w14:paraId="00000108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0" w:line="288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 progettare un Ipertesto.</w:t>
                  </w:r>
                </w:p>
                <w:p w:rsidR="00000000" w:rsidDel="00000000" w:rsidP="00000000" w:rsidRDefault="00000000" w:rsidRPr="00000000" w14:paraId="00000109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0" w:line="288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Conoscere l’utilizzo della rete sia per la ricerca che per lo scambio delle informazioni.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riconosce e identifica nell’ambiente che lo circonda elementi e fenomeni di tipo artificiale. È a conoscenza di alcuni processi di trasformazione di risorse e di consumo di energia, e del relativo impatto ambientale. Conosce e utilizza semplici oggetti e strumenti di uso quotidiano ed è in grado di descriverne la funzione principale e la struttura e di spiegarne il funzionamento. Sa ricavare informazioni utili su proprietà e caratteristiche di beni o servizi leggendo etichette, volantini o altra documentazione tecnica e commerciale.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Ed. fisica</w:t>
                  </w:r>
                </w:p>
                <w:p w:rsidR="00000000" w:rsidDel="00000000" w:rsidP="00000000" w:rsidRDefault="00000000" w:rsidRPr="00000000" w14:paraId="00000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Realizzare i presupposti per una vita sportiva all’insegna della correttezza e dell’equilibrio psicomotorio: riuscire a gestire le emozioni attraverso lo scambio, il confronto e il gioco;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Le regole del vivere civile nel contesto sportivo;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Religione</w:t>
                  </w:r>
                </w:p>
                <w:p w:rsidR="00000000" w:rsidDel="00000000" w:rsidP="00000000" w:rsidRDefault="00000000" w:rsidRPr="00000000" w14:paraId="00000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Spagnolo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4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L’alunno legge gli articoli della costituzione spagnola con l’aiuto della docente, del vocabolario cartaceo e del supporto della rete internet (vocabolari online che riportano esempi di traduzione in contesto, per aiutare nella comprensione del testo di legge). L’alunno comprende il senso generale di quanto letto e  rielabora in lingua madre le informazioni ricavate.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5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Articolo 14 della Costituzione spagnola  (uguaglianza dei cittadini davanti alla legge)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Contenuti / tematiche</w:t>
                  </w:r>
                </w:p>
                <w:p w:rsidR="00000000" w:rsidDel="00000000" w:rsidP="00000000" w:rsidRDefault="00000000" w:rsidRPr="00000000" w14:paraId="000001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ind w:left="175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Soluzioni organizzative</w:t>
                  </w:r>
                </w:p>
              </w:tc>
              <w:tc>
                <w:tcPr/>
                <w:p w:rsidR="00000000" w:rsidDel="00000000" w:rsidP="00000000" w:rsidRDefault="00000000" w:rsidRPr="00000000" w14:paraId="0000012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3"/>
                    <w:tblW w:w="8300.0" w:type="dxa"/>
                    <w:jc w:val="left"/>
                    <w:tblLayout w:type="fixed"/>
                    <w:tblLook w:val="0000"/>
                  </w:tblPr>
                  <w:tblGrid>
                    <w:gridCol w:w="320"/>
                    <w:gridCol w:w="220"/>
                    <w:gridCol w:w="7760"/>
                    <w:tblGridChange w:id="0">
                      <w:tblGrid>
                        <w:gridCol w:w="320"/>
                        <w:gridCol w:w="220"/>
                        <w:gridCol w:w="7760"/>
                      </w:tblGrid>
                    </w:tblGridChange>
                  </w:tblGrid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25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 x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6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7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jc w:val="both"/>
                          <w:rPr>
                            <w:rFonts w:ascii="Cambria" w:cs="Cambria" w:eastAsia="Cambria" w:hAnsi="Cambria"/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color w:val="000000"/>
                            <w:rtl w:val="0"/>
                          </w:rPr>
                          <w:t xml:space="preserve">ATTIVITÀ PER GRUPPO CLASSE 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8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jc w:val="both"/>
                          <w:rPr>
                            <w:rFonts w:ascii="Cambria" w:cs="Cambria" w:eastAsia="Cambria" w:hAnsi="Cambria"/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9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A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2B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C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D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jc w:val="both"/>
                          <w:rPr>
                            <w:rFonts w:ascii="Cambria" w:cs="Cambria" w:eastAsia="Cambria" w:hAnsi="Cambria"/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color w:val="000000"/>
                            <w:rtl w:val="0"/>
                          </w:rPr>
                          <w:t xml:space="preserve">ATTIVITÀ X GRUPPI DI LIVELLO 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(RECUPERO/CONSOLID./POTENZIAM.)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E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jc w:val="both"/>
                          <w:rPr>
                            <w:rFonts w:ascii="Cambria" w:cs="Cambria" w:eastAsia="Cambria" w:hAnsi="Cambria"/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F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0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31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2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3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jc w:val="both"/>
                          <w:rPr>
                            <w:rFonts w:ascii="Cambria" w:cs="Cambria" w:eastAsia="Cambria" w:hAnsi="Cambria"/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color w:val="000000"/>
                            <w:rtl w:val="0"/>
                          </w:rPr>
                          <w:t xml:space="preserve">ATTIVITÀ PER GRUPPI DI COMPITO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4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jc w:val="both"/>
                          <w:rPr>
                            <w:rFonts w:ascii="Cambria" w:cs="Cambria" w:eastAsia="Cambria" w:hAnsi="Cambria"/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5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6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37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8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9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jc w:val="both"/>
                          <w:rPr>
                            <w:rFonts w:ascii="Cambria" w:cs="Cambria" w:eastAsia="Cambria" w:hAnsi="Cambria"/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color w:val="000000"/>
                            <w:rtl w:val="0"/>
                          </w:rPr>
                          <w:t xml:space="preserve">ALTRA ATTIVITÀ _________________________________________________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360" w:lineRule="auto"/>
                    <w:ind w:left="175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Fasi di applicazione</w:t>
                  </w:r>
                </w:p>
              </w:tc>
              <w:tc>
                <w:tcPr/>
                <w:p w:rsidR="00000000" w:rsidDel="00000000" w:rsidP="00000000" w:rsidRDefault="00000000" w:rsidRPr="00000000" w14:paraId="00000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Tempi</w:t>
                  </w:r>
                </w:p>
              </w:tc>
              <w:tc>
                <w:tcPr/>
                <w:p w:rsidR="00000000" w:rsidDel="00000000" w:rsidP="00000000" w:rsidRDefault="00000000" w:rsidRPr="00000000" w14:paraId="00000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ind w:hanging="2"/>
                    <w:jc w:val="center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dicembre - gennaio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Metodologie</w:t>
                  </w:r>
                </w:p>
                <w:p w:rsidR="00000000" w:rsidDel="00000000" w:rsidP="00000000" w:rsidRDefault="00000000" w:rsidRPr="00000000" w14:paraId="00000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ind w:hanging="2"/>
                    <w:jc w:val="center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Lettere: Metodo deduttivo - individual learning - problematizzazione della situazione comunicativa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Risorse umane </w:t>
                  </w:r>
                </w:p>
                <w:p w:rsidR="00000000" w:rsidDel="00000000" w:rsidP="00000000" w:rsidRDefault="00000000" w:rsidRPr="00000000" w14:paraId="000001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interne / esterne</w:t>
                  </w:r>
                </w:p>
              </w:tc>
              <w:tc>
                <w:tcPr/>
                <w:p w:rsidR="00000000" w:rsidDel="00000000" w:rsidP="00000000" w:rsidRDefault="00000000" w:rsidRPr="00000000" w14:paraId="000001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Strumenti e mezzi</w:t>
                  </w:r>
                </w:p>
              </w:tc>
              <w:tc>
                <w:tcPr/>
                <w:p w:rsidR="00000000" w:rsidDel="00000000" w:rsidP="00000000" w:rsidRDefault="00000000" w:rsidRPr="00000000" w14:paraId="000001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Modalità e strumenti di valutazione</w:t>
                  </w:r>
                </w:p>
                <w:p w:rsidR="00000000" w:rsidDel="00000000" w:rsidP="00000000" w:rsidRDefault="00000000" w:rsidRPr="00000000" w14:paraId="00000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color w:val="000000"/>
                      <w:rtl w:val="0"/>
                    </w:rPr>
                    <w:t xml:space="preserve">Per i criteri / indicatori e descrittori di valutazione si fa riferimento alle griglie allegate al PTOF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16"/>
                      <w:szCs w:val="16"/>
                      <w:rtl w:val="0"/>
                    </w:rPr>
                    <w:t xml:space="preserve">( prove oggettive – test a risposta multipla- questionario-  saggio personale…)</w:t>
                  </w:r>
                </w:p>
                <w:p w:rsidR="00000000" w:rsidDel="00000000" w:rsidP="00000000" w:rsidRDefault="00000000" w:rsidRPr="00000000" w14:paraId="00000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F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LINGUA SPAGNOLA: </w:t>
                  </w:r>
                </w:p>
                <w:p w:rsidR="00000000" w:rsidDel="00000000" w:rsidP="00000000" w:rsidRDefault="00000000" w:rsidRPr="00000000" w14:paraId="00000150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test a risposta multipla digitale realizzato  con modulo di google, il cui link sarà inviato tramite registro elettronico</w:t>
                  </w:r>
                </w:p>
                <w:p w:rsidR="00000000" w:rsidDel="00000000" w:rsidP="00000000" w:rsidRDefault="00000000" w:rsidRPr="00000000" w14:paraId="00000151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ED. FISICA: </w:t>
                  </w:r>
                </w:p>
                <w:p w:rsidR="00000000" w:rsidDel="00000000" w:rsidP="00000000" w:rsidRDefault="00000000" w:rsidRPr="00000000" w14:paraId="00000152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osservazione sistematica dei processi di apprendimento nei contesti di confronto in genere e nei vari momenti di attività (saranno valutati la conoscenza e la corretta comprensione delle regole comportamentali attraverso la loro applicazione sia in aula che in ambiente sportivo: impostazione delle relazioni tra compagni improntate alla sicurezza e al rispetto reciproco);</w:t>
                  </w:r>
                </w:p>
                <w:p w:rsidR="00000000" w:rsidDel="00000000" w:rsidP="00000000" w:rsidRDefault="00000000" w:rsidRPr="00000000" w14:paraId="00000153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SCIENZE: </w:t>
                  </w:r>
                </w:p>
                <w:p w:rsidR="00000000" w:rsidDel="00000000" w:rsidP="00000000" w:rsidRDefault="00000000" w:rsidRPr="00000000" w14:paraId="00000154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verifiche orali</w:t>
                  </w:r>
                </w:p>
                <w:p w:rsidR="00000000" w:rsidDel="00000000" w:rsidP="00000000" w:rsidRDefault="00000000" w:rsidRPr="00000000" w14:paraId="00000155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LINGUA INGLESE:</w:t>
                  </w:r>
                </w:p>
                <w:p w:rsidR="00000000" w:rsidDel="00000000" w:rsidP="00000000" w:rsidRDefault="00000000" w:rsidRPr="00000000" w14:paraId="00000156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test a risposta multipla - questionario </w:t>
                  </w:r>
                </w:p>
                <w:p w:rsidR="00000000" w:rsidDel="00000000" w:rsidP="00000000" w:rsidRDefault="00000000" w:rsidRPr="00000000" w14:paraId="00000157">
                  <w:pPr>
                    <w:spacing w:after="0" w:line="240" w:lineRule="auto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NOTE (personalizzazioni, individualizzazioni, osservazioni, etc.)</w:t>
      </w:r>
      <w:r w:rsidDel="00000000" w:rsidR="00000000" w:rsidRPr="00000000">
        <w:rPr>
          <w:rtl w:val="0"/>
        </w:rPr>
      </w:r>
    </w:p>
    <w:tbl>
      <w:tblPr>
        <w:tblStyle w:val="Table14"/>
        <w:tblW w:w="981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Data: </w:t>
        <w:tab/>
        <w:tab/>
        <w:tab/>
        <w:tab/>
        <w:tab/>
        <w:tab/>
        <w:tab/>
        <w:tab/>
        <w:tab/>
        <w:t xml:space="preserve">Firma Consiglio di Classe                   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rchivio.pubblica.istruzione.it/normativa/2007/dm139_07.shtm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HmnCwj3qJ1gTab1UMrGIpX5cA==">AMUW2mVMKUwPKEU9YPiWSnxsDFISBCnwM6BYD2Va/Xp2uG+Qar5Y/P+5WxdBteW85wX9qsKFIjWSIWvfwE1zgjziBeag/a7QVleW7qSkqz9JCDa5BPdNtLE2U2s6oZvHNxbtDJDl+WKA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2019-12-09T08:35:00Z</dcterms:created>
</cp:coreProperties>
</file>