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 ottobre novembre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La costruzione del cittadino sui valori della legalità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1.Competenza alfabetica funzionale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Usa manuali delle discipline o testi divulgativi ( continui, non continui e misti) nelle attività di studio personali e collaborative,per ricercare, raccogliere e rielaborare dati, informazioni e concetti; costruisce sulla base di quanto letto, testi o presentazioni con l’utilizzo di strumenti tradizionali e informatici. Interagisce in modo efficace in diverse situazioni comunicative, attraverso modalità dialogiche sempre rispettose delle idee degli altri, con ciò matura la consapevolezza che il dialogo, oltre a essere uno strumento comunicativo, ha anche un grande valore civile e lo utilizza per apprendere informazioni ed elaborare opinioni riguardanti vari ambiti culturali e sociali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Competenza digitale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aper utilizzare con dimestichezza e spirito critico le tecnologie della società dell’informazione. 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Abilità di base nelle tecnologie dell’informazione e della comunicazione.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 Competenza mult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Lingua spagnola:</w:t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leggere brevi e semplici testi con tecniche adeguate allo scopo </w:t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comprendere brevi messaggi scritti e orali relativi ad ambiti familiari </w:t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Lingua Inglese: </w:t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-leggere semplici testi con diverse strategie adeguate allo scopo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-leggere testi informativi e ascoltare spiegazioni attinenti a contenuti di studio di altre discipline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Competenza in materia di consapevolezza ed espressione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spacing w:before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Geografia:L’alunno Si orienta nello spazio e sulle carte di diversa scala, anche con l’utilizzo di risorse digitali, in base ai punti cardinali, alle coordinate geografiche Costruisce carte mentali relative al territorio degli stati europei</w:t>
                  </w:r>
                </w:p>
                <w:p w:rsidR="00000000" w:rsidDel="00000000" w:rsidP="00000000" w:rsidRDefault="00000000" w:rsidRPr="00000000" w14:paraId="000000BD">
                  <w:pPr>
                    <w:spacing w:before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Storia: l’alunno produce informazioni storiche con fonti di vario genere; Usa le conoscenze e le abilità per orientarsi nella complessità del presente, comprende opinioni e culture diverse, capisce i problemi fondamentali del mondo contemporaneo.</w:t>
                  </w:r>
                </w:p>
                <w:p w:rsidR="00000000" w:rsidDel="00000000" w:rsidP="00000000" w:rsidRDefault="00000000" w:rsidRPr="00000000" w14:paraId="000000BE">
                  <w:pPr>
                    <w:spacing w:before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Arte: L’alunno comprende ed apprezza le opere d’arte, conosce le tipologie del patrimonio ambientale, storico-artistico e museale del territorio, sapendone leggere i significati e i valori estetici, storici e sociali. Ipotizza strategie di intervento per la tutela, la conservazione e la valorizzazione dei beni culturali. Conosce le istituzioni culturali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5. Competenze personali, sociali e di apprendimento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spacing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Ed.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C4">
                  <w:pPr>
                    <w:spacing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comprendere il ruolo di primo piano delle attività fisiche e ginniche, dalla comparsa delle prime civiltà ad oggi;  </w:t>
                  </w:r>
                </w:p>
                <w:p w:rsidR="00000000" w:rsidDel="00000000" w:rsidP="00000000" w:rsidRDefault="00000000" w:rsidRPr="00000000" w14:paraId="000000C5">
                  <w:pPr>
                    <w:spacing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 comprendere l’importanza delle attività motorie nel periodo dell’accrescimento e in relazione ed in relazione alla socializzazione; </w:t>
                  </w:r>
                </w:p>
              </w:tc>
            </w:tr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6. Competenza matematica e competenze in scienze, tecnologie e ingegneria</w:t>
                  </w:r>
                </w:p>
                <w:p w:rsidR="00000000" w:rsidDel="00000000" w:rsidP="00000000" w:rsidRDefault="00000000" w:rsidRPr="00000000" w14:paraId="000000C7">
                  <w:pPr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spacing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Ha una visione della complessità del sistema dei viventi e della loro evoluzione nel tempo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STORIA, GEOGRAFIA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MATEMATICA, SCIENZE,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EDUCAZIONE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RELIGIONE.</w:t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Comprendere gli art. 2-3-4 della Convenzione dei diritti dell’infanzia. </w:t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 gli art. 29-30 e 31 della Costituzione della Repubblica italiana e alcuni articoli del Codice Civile Italiano relativi ai diritti e ai doveri della famiglia.</w:t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 gli art. 3-33 e 34 della Costituzione della Repubblica Italiana.</w:t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Vivere in società e rispettare le regole.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La famiglia oggi.</w:t>
                  </w:r>
                </w:p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La scuola.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legge gli articoli 1, 2 e 8 dellaa “Convention on the Rights of the Child”con l’aiuto della docente o di dizionari on line;</w:t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 il senso generale di brevi testi in lingua, identificando le parole chiave e rielaborando in lingua madre i concetti principali.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Gli articoli 1, 2 e 8 della Convenzionee sui Diritti dell’Infanzia (definizione di fanciullo, diritto all’uguaglianza, diritto all’identità)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</w:t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Individua la specificità della tradizione orale basata sul sistema giuridico delle consuetudini; delinea le semplici regole sociali nell’organizzazione tribale; coglie l’importanza storica dell’esistenza di popoli con cultura e organizzazioni proprie;</w:t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Individua collegamenti e relazioni tra gli eventi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La società dei popoli germani: un sistema di consuetudini (faida – duello…)</w:t>
                  </w:r>
                </w:p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Individuazione delle cause che hanno determinato la conoscenza di tali consuetudini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</w:t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Osserva, legge,  analizza  il sistema territoriale dell’Italia e  dell’Europa anche in relazione alla loro evoluzione e coglie gli effetti delle azioni dell’uomo sui sistemi territoriali; </w:t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Localizza l’area di riferimento al tema preso in esame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Elementi di lettura delle carte geografiche per l’individuazione dell’area di appartenenza dei popoli germanici</w:t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Viaggio compiuto dai popoli germani per raggiungere l’Europa </w:t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comprende che le diversità tra le varie popolazioni non identificano razze umane diverse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La comparazione tra i diversi tipi di DNA e le loro affinità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Ricerca notizie su un bene culturale riguardanti origine, funzione e trasformazioni. </w:t>
                  </w:r>
                </w:p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spacing w:befor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Lettura e riflessione art. 9 della Costituzione</w:t>
                  </w:r>
                </w:p>
                <w:p w:rsidR="00000000" w:rsidDel="00000000" w:rsidP="00000000" w:rsidRDefault="00000000" w:rsidRPr="00000000" w14:paraId="000000FA">
                  <w:pPr>
                    <w:spacing w:befor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 BENI CULTURALI Beni ambientali e beni culturali. Problematiche e discipline ad essi legati. Istituzioni.Il restauro conservativo e costruttivo: il restauratore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Saper eseguire i brani vocali e strumentali per imitazione e per lettura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“Inno alla gioia”(inno europeo in tedesco) e “Inno di Mameli” (Inno nazionalo)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Partendo dall’osservazione , saper eseguire la rappresentazione grafica di semplici figure piane regolari.</w:t>
                  </w:r>
                </w:p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Saper riconoscere le proprietà fondamentali  dei principali materiali e il ciclo produttivo con cui sono. Ottenuti.</w:t>
                  </w:r>
                </w:p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Saper comprendere e  utilizzare termini specifici.</w:t>
                  </w:r>
                </w:p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Conoscere gli elementi basilari che compongono un computer e le relazioni essenziali fra di essi.</w:t>
                  </w:r>
                </w:p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Saper scrivere, inserire dati,  immagini, tabelle con  Word.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Progetta e realizza rappresentazioni grafiche  o infografiche, relative alla struttura e al funzionamento di sistemi materiali o immateriali, utilizzando elementi del disegno tecnico o altri linguaggi multimediali e di programmazione.</w:t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Riconosce nell’ambiente che lo circonda i principali sistemi tecnologici e le molteplici relazioni che essi stabiliscono con gli esseri viventi e gli altri elementi naturali.</w:t>
                  </w:r>
                </w:p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Conosce i principali processi di trasformazione di risorse o di produzione  di beni e riconosce le diverse forme di energia coinvolte.</w:t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Conosce ed utilizza oggetti, strumenti e macchine di uso comune ed è in grado di classificarli o di descriverne la funzione in relazione alla forma, alla struttura e ai materiali.</w:t>
                  </w:r>
                </w:p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Utilizza adeguate risorse materiali, informative e organizzative per la progettazione e la realizzazione di semplici prodotti, anche digitali.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Incrementare l’autostima, il senso di appartenenza, il senso di responsabilità, e il rispetto dei compagni;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L’evoluzione delle attività motorie dall’antichità ad oggi;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Spagnolo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legge gli articoli della costituzione spagnola con l’aiuto della docente, del vocabolario cartaceo e del supporto della rete internet (vocabolari online che riportano esempi di traduzione in contesto, per aiutare nella comprensione del testo di legge). L’alunno comprende il senso generale di quanto letto e  rielabora in lingua madre le informazioni ricavate.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Articoli 9 e 10 della Costituzione spagnola (libertà e uguaglianza, diritti della persona, garanzie giuridiche)</w:t>
                  </w:r>
                </w:p>
              </w:tc>
            </w:tr>
          </w:tbl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ATTIVITÀ PER GRUPPI DI LIVELLO (RECUPERO/CONSOLID./POTENZIAM.)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Lezione frontale - metodo induttivo - lezione interattiva</w:t>
                  </w:r>
                </w:p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Tecnologia: lezione con supporti digitali(LIM) e programmi applicativi specifici.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libro di testo  - lavagna interattiva multimediale - testi di consultazione -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Lingua spagnola: test a risposta multipla digitale realizzato  con modulo di google, il cui link sarà inviato tramite registro elettronico</w:t>
                  </w:r>
                </w:p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Ed. fisica: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Inglese: test a risposta multipla - questionario</w:t>
                  </w:r>
                </w:p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Tecnologia: verifica scritta-orale, materiale digitale inviato su class room.</w:t>
                  </w:r>
                </w:p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Vhe4ZBH/4Vuv/MVUg6pNXSR9w==">AMUW2mXQ9YFbcfX0SP0tIMS4eFTVM2shFLCKxPl+r25XMYy3vWerp5+PHRWNv+hExxXi85NheFlw4sjkDeuZ5d0poIw01ufLz7rlqnhlhGLalz1Q23zmjmYbVMXi47pfZ7KZIUKnncPa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2019-12-02T11:17:00Z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