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Comprensivo Statale “G.Barone”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3283"/>
        <w:gridCol w:w="3283"/>
        <w:tblGridChange w:id="0">
          <w:tblGrid>
            <w:gridCol w:w="3288"/>
            <w:gridCol w:w="3283"/>
            <w:gridCol w:w="3283"/>
          </w:tblGrid>
        </w:tblGridChange>
      </w:tblGrid>
      <w:tr>
        <w:trPr>
          <w:trHeight w:val="136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Baranello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Castropignano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Fossalto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Torella del Sannio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Pluriclasse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Prima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Seconda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Terza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Educazione alla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cittadinanza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terzo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quarto bimestre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Una rete che ci unisce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588f43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7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Imparare ad imparare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7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Collaborare e partecipare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Agire in modo autonomo, responsabile e critico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collegamenti e relazioni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ed interpretare l’informazione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alfabetica funzionale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X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multi 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matematica e competenza in scienze, tecnologie e ingegneria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imprenditoriale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73"/>
              <w:gridCol w:w="5062"/>
              <w:tblGridChange w:id="0">
                <w:tblGrid>
                  <w:gridCol w:w="4673"/>
                  <w:gridCol w:w="5062"/>
                </w:tblGrid>
              </w:tblGridChange>
            </w:tblGrid>
            <w:tr>
              <w:trPr>
                <w:trHeight w:val="27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Asse dei linguaggi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Asse matematico</w:t>
                  </w:r>
                </w:p>
              </w:tc>
            </w:tr>
            <w:tr>
              <w:trPr>
                <w:trHeight w:val="27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Asse scientifico – tecnologico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Asse storico – sociale</w:t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</w:tabs>
                    <w:spacing w:after="0" w:before="0" w:line="240" w:lineRule="auto"/>
                    <w:ind w:left="720" w:right="0" w:hanging="360"/>
                    <w:jc w:val="left"/>
                    <w:rPr>
                      <w:rFonts w:ascii="Verdana" w:cs="Verdana" w:eastAsia="Verdana" w:hAnsi="Verdana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Comunicare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L’allievo interagisce in modo efficace in diverse situazioni comunicative, attraverso modalità dialogiche sempre rispettose degli altri.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Progettare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Realizza prodotti digitali utilizzando fonti di vario genere.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3.Competenze digitali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L’alunno comprende in che modo le tecnologie digitali possono essere di aiuto alla comunicazione, alla creatività e all’innovazione, nella consapevolezza delle opportunità, limiti, effetti e rischi.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 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ind w:hanging="2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Utilizza diverse lingue in modo appropriato ed efficace allo scopo di comunicare, mediando tra esse e tra diversi  mezzi di comunicazione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Consapevolezza ed espressione culturale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Impara ad esprimere creativamente le proprie idee, esperienze ed emozioni in un’ampia varietà di mezzi di comunicazione.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 spagnolo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Storia, Geografia, Matematica, Scienze, Arte e Immagine, Musica, Tecnologia, Educazione Fisica, Religione.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Realizzare forme di scrittura, utilizzando piattaforme multimediali, sulla base di modelli appresi.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Il testo narrativo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Il testo espressivo-emotivo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Il testo espositivo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Esprimere in maniera semplice, in lingua inglese, emozioni e riflessioni rispetto al periodo di difficoltà psicologica ed emotiva legato allo stato di emergenza, attraverso l’uso di strumenti digitali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Lessico ed espressioni specifiche utilizzate nell’esprimere sentimenti, paure, riflessioni ed emozioni personali.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Selezionare ed elaborare le conoscenze utilizzando anche mappe concettuali.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Produrre e presentare testi multimediali utilizzando l’accostamento dei linguaggi verbali con quelli iconici.</w:t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Regioni d’Italia, nazioni d’Europa, continenti del Mondo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Individuare quelle che sono le possibiltà espressive del linguaggio musicale.</w:t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Sviluppare la capacità di uso degli strumenti multimediali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La tecnologia che influenza la musica, la musica che parla della tecnologia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Essere consapevole dei rischi in rete e delle minacce.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Conoscere le misure di protezione e sicurezza.</w:t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Proteggere i dati personali.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Pericoli della Rete</w:t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Dipendenza dagli strumenti tecnologici-digitali</w:t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Condivisione di foto/video in rete e rispetto della privacy</w:t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L’allievo con l’ausilio di dispositivi multimediali, produce facili schemi e mini relazioni sui temi trattati in fase </w:t>
                  </w: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rtl w:val="0"/>
                    </w:rPr>
                    <w:t xml:space="preserve">distance learning</w:t>
                  </w: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(flessibilità e riscaldamento generale) elencando schematicamente gli esercizi principali;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fasi generali e specifiche del riscaldamento muscolare; le articolazioni principali;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L’allievo, anche in modalità DAD,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interagisce in modo efficace usando la seconda lingua comunitaria per elaborare ed esprimere, in maniera semplice, riflessioni personali che scaturiscono dalla particolare contingenza emotiva vissuta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espressione di emozioni e semplici riflessioni in lingua spagnola  attraverso la piattaforma </w:t>
                  </w: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rtl w:val="0"/>
                    </w:rPr>
                    <w:t xml:space="preserve">Padlet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X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gruppo classe </w:t>
                  </w:r>
                </w:p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gruppi di livello (recupero / consolidamento /potenziamento)</w:t>
                  </w:r>
                </w:p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gruppi di compito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Aprile/Maggio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Didattica a Distanza sulle Classroom e video lezioni su Google Hangouts; ricerca di informazioni e spiegazioni semplificate sul web  e condivisione tramite link e mappe concettuali; lezioni videoregistrate.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Docenti  della classe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testi in uso; materiale digitale; video esplicativi e informativi; film; computer; tablet.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questionari-  saggi personal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6"/>
                      <w:szCs w:val="16"/>
                      <w:rtl w:val="0"/>
                    </w:rPr>
                    <w:t xml:space="preserve">i- compiti quiz on line- interrogazioni orali) 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Test oggettivi, elaborati scritti, interrogazioni tramite piattaforma Meet</w:t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9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ragazzi DVA seguiranno tutte le attività, eventualmente  semplificate,  per il raggiungimento degli obiettivi minimi; i ragazzi DSA seguiranno le attività come da PDP.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     15 Aprile 2020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 cura del CdC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o"/>
      <w:lvlJc w:val="left"/>
      <w:pPr>
        <w:ind w:left="127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1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3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7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9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3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/+jc+PKSdsN+keOPN+YwVpNeag==">AMUW2mXtElTDOzJOeUv7WjmE7Ma7dcgZwgn9DFxdc8k59VcXMxz2m4eu4nzSFlHFdg9Mg4bThsfmegNVx417Dra2LOj/q8yaJ36/El+c9za3VTiNyGeglxBZ6CwZfvw2/LP3jwbBis+c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